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660970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leftChars="0" w:right="0" w:rightChars="0"/>
        <w:jc w:val="left"/>
        <w:textAlignment w:val="auto"/>
        <w:rPr>
          <w:rFonts w:hint="eastAsia" w:ascii="黑体" w:hAnsi="黑体" w:eastAsia="黑体" w:cs="黑体"/>
          <w:spacing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pacing w:val="0"/>
          <w:sz w:val="32"/>
          <w:szCs w:val="32"/>
          <w:lang w:val="en-US" w:eastAsia="zh-CN"/>
        </w:rPr>
        <w:t>附件</w:t>
      </w:r>
    </w:p>
    <w:p w14:paraId="38E389C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leftChars="0" w:right="0" w:rightChars="0" w:firstLine="0" w:firstLineChars="0"/>
        <w:jc w:val="center"/>
        <w:textAlignment w:val="auto"/>
        <w:rPr>
          <w:rFonts w:hint="eastAsia" w:ascii="仿宋_GB2312" w:hAnsi="仿宋_GB2312" w:eastAsia="仿宋_GB2312" w:cs="仿宋_GB2312"/>
          <w:b/>
          <w:bCs/>
          <w:spacing w:val="0"/>
          <w:sz w:val="36"/>
          <w:szCs w:val="36"/>
          <w:lang w:val="en-US" w:eastAsia="zh-CN"/>
        </w:rPr>
      </w:pPr>
    </w:p>
    <w:p w14:paraId="275D82CA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right="0" w:rightChars="0"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pacing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0"/>
          <w:sz w:val="44"/>
          <w:szCs w:val="44"/>
          <w:lang w:val="en-US" w:eastAsia="zh-CN"/>
        </w:rPr>
        <w:t>“研究阐释党的二十届四中全会和</w:t>
      </w:r>
    </w:p>
    <w:p w14:paraId="0E9C1843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right="0" w:rightChars="0"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pacing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0"/>
          <w:sz w:val="44"/>
          <w:szCs w:val="44"/>
          <w:lang w:val="en-US" w:eastAsia="zh-CN"/>
        </w:rPr>
        <w:t>省委十一届九次全会精神”福建省社科基金专项项目课题指南</w:t>
      </w:r>
    </w:p>
    <w:p w14:paraId="28B70A4A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right="0" w:rightChars="0" w:firstLine="0" w:firstLineChars="0"/>
        <w:textAlignment w:val="auto"/>
        <w:rPr>
          <w:rFonts w:hint="eastAsia" w:ascii="仿宋_GB2312" w:hAnsi="仿宋_GB2312" w:eastAsia="仿宋_GB2312" w:cs="仿宋_GB2312"/>
          <w:spacing w:val="0"/>
          <w:lang w:val="en-US" w:eastAsia="zh-CN"/>
        </w:rPr>
      </w:pPr>
      <w:bookmarkStart w:id="0" w:name="_GoBack"/>
      <w:bookmarkEnd w:id="0"/>
    </w:p>
    <w:p w14:paraId="4FE36A35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right="0" w:rightChars="0" w:firstLine="640" w:firstLineChars="200"/>
        <w:textAlignment w:val="auto"/>
        <w:rPr>
          <w:rFonts w:hint="eastAsia" w:ascii="仿宋_GB2312" w:hAnsi="仿宋_GB2312" w:eastAsia="仿宋_GB2312" w:cs="仿宋_GB2312"/>
          <w:spacing w:val="0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0"/>
          <w:lang w:val="en-US" w:eastAsia="zh-CN"/>
        </w:rPr>
        <w:t>1.聚力补强科技创新短板研究</w:t>
      </w:r>
    </w:p>
    <w:p w14:paraId="15D979EE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right="0" w:rightChars="0" w:firstLine="640" w:firstLineChars="200"/>
        <w:textAlignment w:val="auto"/>
        <w:rPr>
          <w:rFonts w:hint="eastAsia" w:ascii="仿宋_GB2312" w:hAnsi="仿宋_GB2312" w:eastAsia="仿宋_GB2312" w:cs="仿宋_GB2312"/>
          <w:spacing w:val="0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0"/>
          <w:lang w:val="en-US" w:eastAsia="zh-CN"/>
        </w:rPr>
        <w:t>2.聚力补强产业结构短板研究</w:t>
      </w:r>
    </w:p>
    <w:p w14:paraId="7601A16F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right="0" w:rightChars="0" w:firstLine="640" w:firstLineChars="200"/>
        <w:textAlignment w:val="auto"/>
        <w:rPr>
          <w:rFonts w:hint="eastAsia" w:ascii="仿宋_GB2312" w:hAnsi="仿宋_GB2312" w:eastAsia="仿宋_GB2312" w:cs="仿宋_GB2312"/>
          <w:spacing w:val="0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0"/>
          <w:lang w:val="en-US" w:eastAsia="zh-CN"/>
        </w:rPr>
        <w:t>3.聚力补强居民收入及民生社会事业短板研究</w:t>
      </w:r>
    </w:p>
    <w:p w14:paraId="07107EBC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right="0" w:rightChars="0" w:firstLine="640" w:firstLineChars="200"/>
        <w:textAlignment w:val="auto"/>
        <w:rPr>
          <w:rFonts w:hint="eastAsia" w:ascii="仿宋_GB2312" w:hAnsi="仿宋_GB2312" w:eastAsia="仿宋_GB2312" w:cs="仿宋_GB2312"/>
          <w:spacing w:val="0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0"/>
          <w:lang w:val="en-US" w:eastAsia="zh-CN"/>
        </w:rPr>
        <w:t>4.统筹深化改革和扩大开放研究</w:t>
      </w:r>
    </w:p>
    <w:p w14:paraId="16005C23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right="0" w:rightChars="0" w:firstLine="640" w:firstLineChars="200"/>
        <w:textAlignment w:val="auto"/>
        <w:rPr>
          <w:rFonts w:hint="eastAsia" w:ascii="仿宋_GB2312" w:hAnsi="仿宋_GB2312" w:eastAsia="仿宋_GB2312" w:cs="仿宋_GB2312"/>
          <w:spacing w:val="0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0"/>
          <w:lang w:val="en-US" w:eastAsia="zh-CN"/>
        </w:rPr>
        <w:t>5.统筹区域协调和城乡融合研究</w:t>
      </w:r>
    </w:p>
    <w:p w14:paraId="21646276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right="0" w:rightChars="0" w:firstLine="640" w:firstLineChars="200"/>
        <w:textAlignment w:val="auto"/>
        <w:rPr>
          <w:rFonts w:hint="eastAsia" w:ascii="仿宋_GB2312" w:hAnsi="仿宋_GB2312" w:eastAsia="仿宋_GB2312" w:cs="仿宋_GB2312"/>
          <w:spacing w:val="0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0"/>
          <w:lang w:val="en-US" w:eastAsia="zh-CN"/>
        </w:rPr>
        <w:t>6.统筹经济发展和生态保护研究</w:t>
      </w:r>
    </w:p>
    <w:p w14:paraId="0BBC3587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right="0" w:rightChars="0" w:firstLine="640" w:firstLineChars="200"/>
        <w:textAlignment w:val="auto"/>
        <w:rPr>
          <w:rFonts w:hint="eastAsia" w:ascii="仿宋_GB2312" w:hAnsi="仿宋_GB2312" w:eastAsia="仿宋_GB2312" w:cs="仿宋_GB2312"/>
          <w:spacing w:val="0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0"/>
          <w:lang w:val="en-US" w:eastAsia="zh-CN"/>
        </w:rPr>
        <w:t>7.统筹高质量发展和高水平安全研究</w:t>
      </w:r>
    </w:p>
    <w:p w14:paraId="4FC29DC6"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18929C0"/>
    <w:rsid w:val="518929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